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29"/>
        <w:gridCol w:w="6989"/>
      </w:tblGrid>
      <w:tr w:rsidR="00E24542" w:rsidTr="007E01DC">
        <w:trPr>
          <w:trHeight w:val="11393"/>
        </w:trPr>
        <w:tc>
          <w:tcPr>
            <w:tcW w:w="2929" w:type="dxa"/>
          </w:tcPr>
          <w:p w:rsidR="00E24542" w:rsidRDefault="00E24542"/>
          <w:p w:rsidR="00E24542" w:rsidRDefault="0091526E" w:rsidP="0091526E">
            <w:pPr>
              <w:rPr>
                <w:rFonts w:ascii="Verdana" w:hAnsi="Verdana"/>
                <w:noProof/>
                <w:color w:val="535252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2420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11" cy="126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91D" w:rsidRDefault="0015391D">
            <w:pPr>
              <w:rPr>
                <w:rFonts w:ascii="Verdana" w:hAnsi="Verdana"/>
                <w:noProof/>
                <w:color w:val="535252"/>
                <w:sz w:val="17"/>
                <w:szCs w:val="17"/>
              </w:rPr>
            </w:pPr>
          </w:p>
          <w:p w:rsidR="0015391D" w:rsidRDefault="0015391D"/>
          <w:p w:rsidR="009D01D5" w:rsidRDefault="0015391D">
            <w:r>
              <w:t>Damian W. Abreo</w:t>
            </w:r>
          </w:p>
          <w:p w:rsidR="009D01D5" w:rsidRDefault="0015391D">
            <w:hyperlink r:id="rId7" w:history="1">
              <w:r w:rsidRPr="00C772C0">
                <w:rPr>
                  <w:rStyle w:val="Hyperlink"/>
                </w:rPr>
                <w:t>dabreo@hwa.com</w:t>
              </w:r>
            </w:hyperlink>
            <w:r w:rsidR="009D01D5">
              <w:br/>
              <w:t>(713) 328-2</w:t>
            </w:r>
            <w:r>
              <w:t>848</w:t>
            </w:r>
          </w:p>
          <w:p w:rsidR="00E24542" w:rsidRDefault="00E24542"/>
          <w:p w:rsidR="00E24542" w:rsidRDefault="00E24542"/>
        </w:tc>
        <w:tc>
          <w:tcPr>
            <w:tcW w:w="6989" w:type="dxa"/>
          </w:tcPr>
          <w:p w:rsidR="00E24542" w:rsidRPr="001A1292" w:rsidRDefault="00E24542" w:rsidP="001B3E1A">
            <w:pPr>
              <w:jc w:val="both"/>
              <w:rPr>
                <w:b/>
              </w:rPr>
            </w:pPr>
            <w:r w:rsidRPr="001A1292">
              <w:rPr>
                <w:b/>
              </w:rPr>
              <w:t>Summary</w:t>
            </w:r>
          </w:p>
          <w:p w:rsidR="007E01DC" w:rsidRDefault="00483880" w:rsidP="007E01DC">
            <w:pPr>
              <w:jc w:val="both"/>
            </w:pPr>
            <w:r w:rsidRPr="001A1292">
              <w:t>Licensed, Texas, 19</w:t>
            </w:r>
            <w:r w:rsidR="0015391D" w:rsidRPr="001A1292">
              <w:t>98</w:t>
            </w:r>
          </w:p>
          <w:p w:rsidR="00E7305F" w:rsidRDefault="00E7305F" w:rsidP="007E01DC">
            <w:pPr>
              <w:jc w:val="both"/>
            </w:pPr>
          </w:p>
          <w:p w:rsidR="00E7305F" w:rsidRDefault="00E7305F" w:rsidP="007E01DC">
            <w:pPr>
              <w:jc w:val="both"/>
            </w:pPr>
            <w:r>
              <w:t>Licensed, United States District and Bankruptcy Courts for the Southern District of Texas – 1999</w:t>
            </w:r>
          </w:p>
          <w:p w:rsidR="00E7305F" w:rsidRDefault="00E7305F" w:rsidP="007E01DC">
            <w:pPr>
              <w:jc w:val="both"/>
            </w:pPr>
          </w:p>
          <w:p w:rsidR="00E7305F" w:rsidRDefault="00E7305F" w:rsidP="007E01DC">
            <w:pPr>
              <w:jc w:val="both"/>
            </w:pPr>
            <w:r>
              <w:t>Licensed, United States District and Bankruptcy Courts for the Eastern, Northern, and Western Districts of Texas – 2007</w:t>
            </w:r>
          </w:p>
          <w:p w:rsidR="00E7305F" w:rsidRDefault="00E7305F" w:rsidP="007E01DC">
            <w:pPr>
              <w:jc w:val="both"/>
            </w:pPr>
          </w:p>
          <w:p w:rsidR="00E7305F" w:rsidRPr="001A1292" w:rsidRDefault="00E7305F" w:rsidP="007E01DC">
            <w:pPr>
              <w:jc w:val="both"/>
            </w:pPr>
            <w:r>
              <w:t>Licensed, United States Court of Appeals for the Fifth Circuit – 2016</w:t>
            </w:r>
          </w:p>
          <w:p w:rsidR="007E01DC" w:rsidRPr="001A1292" w:rsidRDefault="007E01DC" w:rsidP="001B3E1A">
            <w:pPr>
              <w:jc w:val="both"/>
            </w:pPr>
          </w:p>
          <w:p w:rsidR="007E01DC" w:rsidRPr="001A1292" w:rsidRDefault="007E01DC" w:rsidP="001B3E1A">
            <w:pPr>
              <w:jc w:val="both"/>
            </w:pPr>
            <w:r w:rsidRPr="001A1292">
              <w:t>Certified, Texas Board of Legal Specialization, Consumer Bankruptcy Law</w:t>
            </w:r>
          </w:p>
          <w:p w:rsidR="007E01DC" w:rsidRPr="001A1292" w:rsidRDefault="007E01DC" w:rsidP="001B3E1A">
            <w:pPr>
              <w:jc w:val="both"/>
            </w:pPr>
            <w:r w:rsidRPr="001A1292">
              <w:t xml:space="preserve">   (</w:t>
            </w:r>
            <w:r w:rsidR="0015391D" w:rsidRPr="001A1292">
              <w:t xml:space="preserve">2004, </w:t>
            </w:r>
            <w:r w:rsidR="0091526E" w:rsidRPr="001A1292">
              <w:rPr>
                <w:i/>
              </w:rPr>
              <w:t xml:space="preserve">inactive </w:t>
            </w:r>
            <w:r w:rsidR="008F18A0" w:rsidRPr="001A1292">
              <w:rPr>
                <w:i/>
              </w:rPr>
              <w:t>status</w:t>
            </w:r>
            <w:bookmarkStart w:id="0" w:name="_GoBack"/>
            <w:bookmarkEnd w:id="0"/>
            <w:r w:rsidRPr="001A1292">
              <w:t>)</w:t>
            </w:r>
          </w:p>
          <w:p w:rsidR="00E24542" w:rsidRPr="001A1292" w:rsidRDefault="00E24542" w:rsidP="001B3E1A">
            <w:pPr>
              <w:jc w:val="both"/>
            </w:pPr>
          </w:p>
          <w:p w:rsidR="00E24542" w:rsidRPr="001A1292" w:rsidRDefault="00E24542" w:rsidP="001B3E1A">
            <w:pPr>
              <w:jc w:val="both"/>
              <w:rPr>
                <w:b/>
              </w:rPr>
            </w:pPr>
            <w:r w:rsidRPr="001A1292">
              <w:rPr>
                <w:b/>
              </w:rPr>
              <w:t>Education</w:t>
            </w:r>
          </w:p>
          <w:p w:rsidR="00BC58DE" w:rsidRPr="001A1292" w:rsidRDefault="00BC58DE" w:rsidP="001B3E1A">
            <w:pPr>
              <w:jc w:val="both"/>
            </w:pPr>
            <w:r w:rsidRPr="001A1292">
              <w:t xml:space="preserve">Juris Doctor – </w:t>
            </w:r>
            <w:r w:rsidR="0091526E" w:rsidRPr="001A1292">
              <w:t>University of Houston Bates Law Center</w:t>
            </w:r>
            <w:r w:rsidR="00B93D1E" w:rsidRPr="001A1292">
              <w:t>, 19</w:t>
            </w:r>
            <w:r w:rsidR="0091526E" w:rsidRPr="001A1292">
              <w:t>98</w:t>
            </w:r>
          </w:p>
          <w:p w:rsidR="00BC58DE" w:rsidRPr="001A1292" w:rsidRDefault="00BC58DE" w:rsidP="001B3E1A">
            <w:pPr>
              <w:jc w:val="both"/>
            </w:pPr>
            <w:r w:rsidRPr="001A1292">
              <w:t xml:space="preserve">Bachelor </w:t>
            </w:r>
            <w:r w:rsidR="008F18A0" w:rsidRPr="001A1292">
              <w:t>of Arts</w:t>
            </w:r>
            <w:r w:rsidR="00B93D1E" w:rsidRPr="001A1292">
              <w:t xml:space="preserve">, </w:t>
            </w:r>
            <w:r w:rsidR="0091526E" w:rsidRPr="001A1292">
              <w:t>Sociology</w:t>
            </w:r>
            <w:r w:rsidR="003D03F7" w:rsidRPr="001A1292">
              <w:t xml:space="preserve"> </w:t>
            </w:r>
            <w:r w:rsidRPr="001A1292">
              <w:t xml:space="preserve">– </w:t>
            </w:r>
            <w:r w:rsidR="0091526E" w:rsidRPr="001A1292">
              <w:t>Rice University</w:t>
            </w:r>
            <w:r w:rsidR="00B93D1E" w:rsidRPr="001A1292">
              <w:t>, 19</w:t>
            </w:r>
            <w:r w:rsidR="0091526E" w:rsidRPr="001A1292">
              <w:t>95</w:t>
            </w:r>
          </w:p>
          <w:p w:rsidR="0091526E" w:rsidRPr="001A1292" w:rsidRDefault="0091526E" w:rsidP="001B3E1A">
            <w:pPr>
              <w:jc w:val="both"/>
            </w:pPr>
            <w:r w:rsidRPr="001A1292">
              <w:t>St. Thomas High School, Houston, Texas, 1991.</w:t>
            </w:r>
          </w:p>
          <w:p w:rsidR="00E24542" w:rsidRPr="001A1292" w:rsidRDefault="00E24542" w:rsidP="001B3E1A">
            <w:pPr>
              <w:jc w:val="both"/>
            </w:pPr>
          </w:p>
          <w:p w:rsidR="009B1385" w:rsidRPr="001A1292" w:rsidRDefault="00E24542" w:rsidP="009B1385">
            <w:pPr>
              <w:jc w:val="both"/>
              <w:rPr>
                <w:b/>
              </w:rPr>
            </w:pPr>
            <w:r w:rsidRPr="001A1292">
              <w:rPr>
                <w:b/>
              </w:rPr>
              <w:t>Experience</w:t>
            </w:r>
          </w:p>
          <w:p w:rsidR="009B1385" w:rsidRPr="001A1292" w:rsidRDefault="009B1385" w:rsidP="009B1385">
            <w:pPr>
              <w:jc w:val="both"/>
              <w:rPr>
                <w:b/>
              </w:rPr>
            </w:pPr>
          </w:p>
          <w:p w:rsidR="009B1385" w:rsidRPr="001A1292" w:rsidRDefault="009B1385" w:rsidP="009B1385">
            <w:pPr>
              <w:jc w:val="both"/>
              <w:rPr>
                <w:rFonts w:cs="Times New Roman"/>
                <w:color w:val="535252"/>
              </w:rPr>
            </w:pPr>
            <w:r w:rsidRPr="001A1292">
              <w:rPr>
                <w:rFonts w:cs="Times New Roman"/>
                <w:b/>
              </w:rPr>
              <w:t>M</w:t>
            </w:r>
            <w:r w:rsidR="0091526E" w:rsidRPr="001A1292">
              <w:rPr>
                <w:rFonts w:cs="Times New Roman"/>
                <w:b/>
              </w:rPr>
              <w:t>r. Abreo</w:t>
            </w:r>
            <w:r w:rsidRPr="001A1292">
              <w:rPr>
                <w:rFonts w:cs="Times New Roman"/>
                <w:b/>
              </w:rPr>
              <w:t xml:space="preserve"> is </w:t>
            </w:r>
            <w:r w:rsidR="0091526E" w:rsidRPr="001A1292">
              <w:rPr>
                <w:rFonts w:cs="Times New Roman"/>
                <w:b/>
              </w:rPr>
              <w:t>Senior Counsel</w:t>
            </w:r>
            <w:r w:rsidRPr="001A1292">
              <w:rPr>
                <w:rFonts w:cs="Times New Roman"/>
                <w:b/>
              </w:rPr>
              <w:t xml:space="preserve"> whose practice is concentrated primarily </w:t>
            </w:r>
            <w:r w:rsidRPr="001A1292">
              <w:rPr>
                <w:rFonts w:cs="Times New Roman"/>
                <w:color w:val="535252"/>
              </w:rPr>
              <w:t xml:space="preserve">in the areas of </w:t>
            </w:r>
            <w:r w:rsidR="0091526E" w:rsidRPr="001A1292">
              <w:rPr>
                <w:rFonts w:cs="Times New Roman"/>
                <w:color w:val="535252"/>
              </w:rPr>
              <w:t xml:space="preserve">commercial litigation, </w:t>
            </w:r>
            <w:r w:rsidRPr="001A1292">
              <w:rPr>
                <w:rFonts w:cs="Times New Roman"/>
                <w:color w:val="535252"/>
              </w:rPr>
              <w:t xml:space="preserve">mortgage banking, </w:t>
            </w:r>
            <w:r w:rsidR="0091526E" w:rsidRPr="001A1292">
              <w:rPr>
                <w:rFonts w:cs="Times New Roman"/>
                <w:color w:val="535252"/>
              </w:rPr>
              <w:t>and c</w:t>
            </w:r>
            <w:r w:rsidRPr="001A1292">
              <w:rPr>
                <w:rFonts w:cs="Times New Roman"/>
                <w:color w:val="535252"/>
              </w:rPr>
              <w:t>reditors´ right</w:t>
            </w:r>
            <w:r w:rsidR="0091526E" w:rsidRPr="001A1292">
              <w:rPr>
                <w:rFonts w:cs="Times New Roman"/>
                <w:color w:val="535252"/>
              </w:rPr>
              <w:t>s</w:t>
            </w:r>
            <w:r w:rsidRPr="001A1292">
              <w:rPr>
                <w:rFonts w:cs="Times New Roman"/>
                <w:color w:val="535252"/>
              </w:rPr>
              <w:t xml:space="preserve">. </w:t>
            </w:r>
            <w:r w:rsidR="0091526E" w:rsidRPr="001A1292">
              <w:rPr>
                <w:rFonts w:cs="Times New Roman"/>
                <w:color w:val="535252"/>
              </w:rPr>
              <w:t>H</w:t>
            </w:r>
            <w:r w:rsidRPr="001A1292">
              <w:rPr>
                <w:rFonts w:cs="Times New Roman"/>
                <w:color w:val="535252"/>
              </w:rPr>
              <w:t>e has extensive expertise in default servicing (bankruptcy</w:t>
            </w:r>
            <w:r w:rsidR="0091526E" w:rsidRPr="001A1292">
              <w:rPr>
                <w:rFonts w:cs="Times New Roman"/>
                <w:color w:val="535252"/>
              </w:rPr>
              <w:t>,</w:t>
            </w:r>
            <w:r w:rsidRPr="001A1292">
              <w:rPr>
                <w:rFonts w:cs="Times New Roman"/>
                <w:color w:val="535252"/>
              </w:rPr>
              <w:t xml:space="preserve"> foreclosures</w:t>
            </w:r>
            <w:r w:rsidR="0091526E" w:rsidRPr="001A1292">
              <w:rPr>
                <w:rFonts w:cs="Times New Roman"/>
                <w:color w:val="535252"/>
              </w:rPr>
              <w:t>,</w:t>
            </w:r>
            <w:r w:rsidRPr="001A1292">
              <w:rPr>
                <w:rFonts w:cs="Times New Roman"/>
                <w:color w:val="535252"/>
              </w:rPr>
              <w:t xml:space="preserve"> and evictions) and </w:t>
            </w:r>
            <w:r w:rsidR="002123BE">
              <w:rPr>
                <w:rFonts w:cs="Times New Roman"/>
                <w:color w:val="535252"/>
              </w:rPr>
              <w:t>civil trial and appellate practice</w:t>
            </w:r>
            <w:r w:rsidRPr="001A1292">
              <w:rPr>
                <w:rFonts w:cs="Times New Roman"/>
                <w:color w:val="535252"/>
              </w:rPr>
              <w:t xml:space="preserve">.   </w:t>
            </w:r>
          </w:p>
          <w:p w:rsidR="009B1385" w:rsidRPr="001A1292" w:rsidRDefault="009B1385" w:rsidP="009B1385">
            <w:pPr>
              <w:jc w:val="both"/>
              <w:rPr>
                <w:rFonts w:cs="Times New Roman"/>
                <w:b/>
              </w:rPr>
            </w:pPr>
          </w:p>
          <w:p w:rsidR="00FB23E9" w:rsidRPr="001A1292" w:rsidRDefault="00E7305F" w:rsidP="001B3E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Managed bankruptcy actions for </w:t>
            </w:r>
            <w:r w:rsidR="0091526E" w:rsidRPr="001A1292">
              <w:rPr>
                <w:rFonts w:cs="Times New Roman"/>
              </w:rPr>
              <w:t>Freddie Mac</w:t>
            </w:r>
            <w:r>
              <w:rPr>
                <w:rFonts w:cs="Times New Roman"/>
              </w:rPr>
              <w:t xml:space="preserve"> and Fannie Mae under the Designated Counsel and Retained Counsel Programs</w:t>
            </w:r>
            <w:r w:rsidR="00FB23E9" w:rsidRPr="001A1292">
              <w:rPr>
                <w:rFonts w:cs="Times New Roman"/>
              </w:rPr>
              <w:t xml:space="preserve"> until termination of those programs and thereafter and currently represents those GSEs </w:t>
            </w:r>
            <w:r w:rsidR="002123BE">
              <w:rPr>
                <w:rFonts w:cs="Times New Roman"/>
              </w:rPr>
              <w:t>and their servicers</w:t>
            </w:r>
            <w:r>
              <w:rPr>
                <w:rFonts w:cs="Times New Roman"/>
              </w:rPr>
              <w:t>.</w:t>
            </w:r>
          </w:p>
          <w:p w:rsidR="0091526E" w:rsidRDefault="00AC6876" w:rsidP="001B3E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2123BE">
              <w:rPr>
                <w:rFonts w:cs="Times New Roman"/>
              </w:rPr>
              <w:t xml:space="preserve">rimary trial counsel for </w:t>
            </w:r>
            <w:r w:rsidR="008F18A0">
              <w:rPr>
                <w:rFonts w:cs="Times New Roman"/>
              </w:rPr>
              <w:t>several</w:t>
            </w:r>
            <w:r w:rsidR="002123BE">
              <w:rPr>
                <w:rFonts w:cs="Times New Roman"/>
              </w:rPr>
              <w:t xml:space="preserve"> auto dealerships, oil field service companies, construction companies, and</w:t>
            </w:r>
            <w:r w:rsidR="00E7305F">
              <w:rPr>
                <w:rFonts w:cs="Times New Roman"/>
              </w:rPr>
              <w:t xml:space="preserve"> mortgage servicing entities.</w:t>
            </w:r>
          </w:p>
          <w:p w:rsidR="00E7305F" w:rsidRDefault="00E7305F" w:rsidP="001B3E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Defended lenders in actions filed by borrowers under state and federal statues and Texas common law in state and federal courts throughout Texas.</w:t>
            </w:r>
          </w:p>
          <w:p w:rsidR="00E7305F" w:rsidRPr="001A1292" w:rsidRDefault="00E7305F" w:rsidP="001B3E1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Represented lenders as lienholders and claimants in federal criminal forfeiture actions. </w:t>
            </w:r>
          </w:p>
          <w:p w:rsidR="00E24542" w:rsidRPr="001A1292" w:rsidRDefault="00E24542" w:rsidP="007E01DC">
            <w:pPr>
              <w:pStyle w:val="ListParagraph"/>
              <w:ind w:left="360"/>
              <w:jc w:val="both"/>
            </w:pPr>
          </w:p>
          <w:p w:rsidR="00E24542" w:rsidRPr="001A1292" w:rsidRDefault="00E24542" w:rsidP="001B3E1A">
            <w:pPr>
              <w:jc w:val="both"/>
              <w:rPr>
                <w:b/>
              </w:rPr>
            </w:pPr>
            <w:r w:rsidRPr="001A1292">
              <w:rPr>
                <w:b/>
              </w:rPr>
              <w:t>Memberships</w:t>
            </w:r>
          </w:p>
          <w:p w:rsidR="0091526E" w:rsidRPr="001A1292" w:rsidRDefault="0091526E" w:rsidP="00FB23E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1A1292">
              <w:t>Texas Bar Association</w:t>
            </w:r>
          </w:p>
          <w:p w:rsidR="00483880" w:rsidRPr="001A1292" w:rsidRDefault="0091526E" w:rsidP="002123B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1A1292">
              <w:t>Houston Association of Consumer Bankruptcy Attorneys</w:t>
            </w:r>
          </w:p>
          <w:p w:rsidR="00E24542" w:rsidRPr="001A1292" w:rsidRDefault="00E24542" w:rsidP="001B3E1A">
            <w:pPr>
              <w:jc w:val="both"/>
            </w:pPr>
          </w:p>
          <w:p w:rsidR="00E24542" w:rsidRPr="001A1292" w:rsidRDefault="00E24542" w:rsidP="001B3E1A">
            <w:pPr>
              <w:jc w:val="both"/>
              <w:rPr>
                <w:rFonts w:cs="Times New Roman"/>
                <w:b/>
              </w:rPr>
            </w:pPr>
            <w:r w:rsidRPr="001A1292">
              <w:rPr>
                <w:rFonts w:cs="Times New Roman"/>
                <w:b/>
              </w:rPr>
              <w:t>Publications/Notables</w:t>
            </w:r>
          </w:p>
          <w:p w:rsidR="009B1385" w:rsidRPr="00E7305F" w:rsidRDefault="009B1385" w:rsidP="00E730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1A1292">
              <w:rPr>
                <w:rFonts w:cs="Times New Roman"/>
              </w:rPr>
              <w:t>Texas</w:t>
            </w:r>
            <w:r w:rsidR="009E43F3" w:rsidRPr="001A1292">
              <w:rPr>
                <w:rFonts w:cs="Times New Roman"/>
              </w:rPr>
              <w:t xml:space="preserve"> </w:t>
            </w:r>
            <w:r w:rsidR="00483880" w:rsidRPr="001A1292">
              <w:rPr>
                <w:rFonts w:cs="Times New Roman"/>
              </w:rPr>
              <w:t xml:space="preserve">Super </w:t>
            </w:r>
            <w:r w:rsidRPr="001A1292">
              <w:rPr>
                <w:rFonts w:cs="Times New Roman"/>
              </w:rPr>
              <w:t>Lawyer</w:t>
            </w:r>
            <w:r w:rsidR="00E7305F">
              <w:rPr>
                <w:rFonts w:cs="Times New Roman"/>
              </w:rPr>
              <w:t xml:space="preserve"> Rising Star</w:t>
            </w:r>
            <w:r w:rsidR="009E43F3" w:rsidRPr="001A1292">
              <w:rPr>
                <w:rFonts w:cs="Times New Roman"/>
              </w:rPr>
              <w:t>,</w:t>
            </w:r>
            <w:r w:rsidRPr="001A1292">
              <w:rPr>
                <w:rFonts w:cs="Times New Roman"/>
                <w:color w:val="535252"/>
              </w:rPr>
              <w:t xml:space="preserve"> </w:t>
            </w:r>
            <w:r w:rsidRPr="001A1292">
              <w:rPr>
                <w:rStyle w:val="Emphasis"/>
                <w:rFonts w:cs="Times New Roman"/>
                <w:color w:val="535252"/>
              </w:rPr>
              <w:t>Texas Monthly</w:t>
            </w:r>
            <w:r w:rsidR="00E7305F">
              <w:rPr>
                <w:rStyle w:val="Emphasis"/>
                <w:rFonts w:cs="Times New Roman"/>
                <w:color w:val="535252"/>
              </w:rPr>
              <w:t xml:space="preserve"> </w:t>
            </w:r>
            <w:r w:rsidR="00E7305F">
              <w:rPr>
                <w:rStyle w:val="Emphasis"/>
              </w:rPr>
              <w:t>Magazine</w:t>
            </w:r>
            <w:r w:rsidR="00E7305F">
              <w:rPr>
                <w:rStyle w:val="Emphasis"/>
                <w:i w:val="0"/>
              </w:rPr>
              <w:t xml:space="preserve"> 2009</w:t>
            </w:r>
            <w:r w:rsidRPr="001A1292">
              <w:rPr>
                <w:rFonts w:cs="Times New Roman"/>
                <w:color w:val="535252"/>
              </w:rPr>
              <w:t xml:space="preserve"> </w:t>
            </w:r>
          </w:p>
          <w:p w:rsidR="002A7543" w:rsidRPr="001A1292" w:rsidRDefault="002A7543" w:rsidP="00B93D1E">
            <w:pPr>
              <w:jc w:val="both"/>
              <w:rPr>
                <w:rFonts w:cs="Times New Roman"/>
              </w:rPr>
            </w:pPr>
          </w:p>
          <w:p w:rsidR="00B93D1E" w:rsidRPr="001A1292" w:rsidRDefault="00B93D1E" w:rsidP="00B93D1E">
            <w:pPr>
              <w:jc w:val="both"/>
              <w:rPr>
                <w:rFonts w:cs="Times New Roman"/>
                <w:b/>
              </w:rPr>
            </w:pPr>
            <w:r w:rsidRPr="001A1292">
              <w:rPr>
                <w:rFonts w:cs="Times New Roman"/>
                <w:b/>
              </w:rPr>
              <w:t>Community Activities</w:t>
            </w:r>
          </w:p>
          <w:p w:rsidR="001A1292" w:rsidRDefault="001A1292" w:rsidP="00AC6876">
            <w:pPr>
              <w:ind w:left="403" w:hanging="403"/>
              <w:jc w:val="both"/>
              <w:rPr>
                <w:rFonts w:cs="Times New Roman"/>
              </w:rPr>
            </w:pPr>
            <w:r w:rsidRPr="001A1292">
              <w:rPr>
                <w:rFonts w:cs="Times New Roman"/>
                <w:sz w:val="32"/>
                <w:szCs w:val="32"/>
              </w:rPr>
              <w:t>•</w:t>
            </w:r>
            <w:r w:rsidR="00B93D1E" w:rsidRPr="001A1292">
              <w:rPr>
                <w:rFonts w:cs="Times New Roman"/>
              </w:rPr>
              <w:t xml:space="preserve">  </w:t>
            </w:r>
            <w:r w:rsidRPr="001A1292">
              <w:rPr>
                <w:rFonts w:cs="Times New Roman"/>
              </w:rPr>
              <w:t xml:space="preserve">  Secretary and Director, National Buffalo Soldiers Museum (2012-2018)</w:t>
            </w:r>
          </w:p>
          <w:p w:rsidR="002123BE" w:rsidRPr="002123BE" w:rsidRDefault="001A1292" w:rsidP="00AC6876">
            <w:pPr>
              <w:ind w:left="403" w:hanging="403"/>
              <w:jc w:val="both"/>
              <w:rPr>
                <w:rFonts w:cs="Times New Roman"/>
              </w:rPr>
            </w:pPr>
            <w:r w:rsidRPr="001A1292">
              <w:rPr>
                <w:rFonts w:cs="Times New Roman"/>
                <w:sz w:val="32"/>
                <w:szCs w:val="32"/>
              </w:rPr>
              <w:t>•</w:t>
            </w:r>
            <w:r w:rsidR="002123BE">
              <w:rPr>
                <w:rFonts w:cs="Times New Roman"/>
                <w:sz w:val="32"/>
                <w:szCs w:val="32"/>
              </w:rPr>
              <w:t xml:space="preserve">   </w:t>
            </w:r>
            <w:r w:rsidR="002123BE">
              <w:rPr>
                <w:rFonts w:cs="Times New Roman"/>
              </w:rPr>
              <w:t>Men’s A.C.T.S. team, St. Jerome Catholic Church (2018-2020)</w:t>
            </w:r>
          </w:p>
          <w:p w:rsidR="001A1292" w:rsidRPr="001A1292" w:rsidRDefault="001A1292" w:rsidP="00AC6876">
            <w:pPr>
              <w:jc w:val="both"/>
            </w:pPr>
            <w:r w:rsidRPr="001A1292">
              <w:rPr>
                <w:rFonts w:cs="Times New Roman"/>
                <w:sz w:val="32"/>
                <w:szCs w:val="32"/>
              </w:rPr>
              <w:t>•</w:t>
            </w:r>
            <w:r w:rsidRPr="001A1292">
              <w:rPr>
                <w:rFonts w:cs="Times New Roman"/>
                <w:sz w:val="32"/>
                <w:szCs w:val="32"/>
              </w:rPr>
              <w:t xml:space="preserve"> </w:t>
            </w:r>
            <w:r w:rsidRPr="001A1292">
              <w:rPr>
                <w:rFonts w:cs="Times New Roman"/>
              </w:rPr>
              <w:t xml:space="preserve">   Member Knights of Columbus Council 4550</w:t>
            </w:r>
          </w:p>
        </w:tc>
      </w:tr>
      <w:tr w:rsidR="00B93D1E" w:rsidTr="007E01DC">
        <w:trPr>
          <w:trHeight w:val="127"/>
        </w:trPr>
        <w:tc>
          <w:tcPr>
            <w:tcW w:w="2929" w:type="dxa"/>
          </w:tcPr>
          <w:p w:rsidR="00B93D1E" w:rsidRDefault="008F18A0">
            <w:pPr>
              <w:rPr>
                <w:rFonts w:ascii="Verdana" w:hAnsi="Verdana"/>
                <w:noProof/>
                <w:color w:val="535252"/>
                <w:sz w:val="17"/>
                <w:szCs w:val="17"/>
              </w:rPr>
            </w:pPr>
            <w:sdt>
              <w:sdtPr>
                <w:rPr>
                  <w:rFonts w:ascii="Cambria Math" w:hAnsi="Cambria Math"/>
                  <w:i/>
                  <w:noProof/>
                  <w:color w:val="535252"/>
                  <w:sz w:val="17"/>
                  <w:szCs w:val="17"/>
                </w:rPr>
                <w:id w:val="-1359354870"/>
                <w:placeholder>
                  <w:docPart w:val="DefaultPlaceholder_1075446218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6989" w:type="dxa"/>
          </w:tcPr>
          <w:p w:rsidR="00B93D1E" w:rsidRPr="00BC58DE" w:rsidRDefault="00B93D1E" w:rsidP="001B3E1A">
            <w:pPr>
              <w:jc w:val="both"/>
              <w:rPr>
                <w:b/>
              </w:rPr>
            </w:pPr>
          </w:p>
        </w:tc>
      </w:tr>
    </w:tbl>
    <w:p w:rsidR="00A40A88" w:rsidRDefault="00A40A88"/>
    <w:sectPr w:rsidR="00A4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05D3"/>
    <w:multiLevelType w:val="hybridMultilevel"/>
    <w:tmpl w:val="5B181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A384C"/>
    <w:multiLevelType w:val="hybridMultilevel"/>
    <w:tmpl w:val="EEE69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C507E"/>
    <w:multiLevelType w:val="hybridMultilevel"/>
    <w:tmpl w:val="7B68A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2B"/>
    <w:rsid w:val="0015391D"/>
    <w:rsid w:val="001A1292"/>
    <w:rsid w:val="001B3E1A"/>
    <w:rsid w:val="002123BE"/>
    <w:rsid w:val="002A652B"/>
    <w:rsid w:val="002A7543"/>
    <w:rsid w:val="003970D6"/>
    <w:rsid w:val="003D03F7"/>
    <w:rsid w:val="00483880"/>
    <w:rsid w:val="007E01DC"/>
    <w:rsid w:val="0085255F"/>
    <w:rsid w:val="0088017C"/>
    <w:rsid w:val="008F18A0"/>
    <w:rsid w:val="0091526E"/>
    <w:rsid w:val="009B1385"/>
    <w:rsid w:val="009D01D5"/>
    <w:rsid w:val="009E43F3"/>
    <w:rsid w:val="00A40A88"/>
    <w:rsid w:val="00AC6876"/>
    <w:rsid w:val="00B558A0"/>
    <w:rsid w:val="00B93D1E"/>
    <w:rsid w:val="00BC58DE"/>
    <w:rsid w:val="00D7759A"/>
    <w:rsid w:val="00E24542"/>
    <w:rsid w:val="00E7305F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3741"/>
  <w15:docId w15:val="{40918F4A-1E9F-4824-9E4B-3C5A64F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59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5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8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3D1E"/>
    <w:rPr>
      <w:color w:val="808080"/>
    </w:rPr>
  </w:style>
  <w:style w:type="character" w:styleId="Emphasis">
    <w:name w:val="Emphasis"/>
    <w:basedOn w:val="DefaultParagraphFont"/>
    <w:uiPriority w:val="20"/>
    <w:qFormat/>
    <w:rsid w:val="009B138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3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breo@hw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F34D-9572-4218-9754-3F083971077A}"/>
      </w:docPartPr>
      <w:docPartBody>
        <w:p w:rsidR="00553ED3" w:rsidRDefault="009421DF">
          <w:r w:rsidRPr="006E3D1A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1DF"/>
    <w:rsid w:val="00553ED3"/>
    <w:rsid w:val="009421DF"/>
    <w:rsid w:val="00E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1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B1A8-32F4-4ABF-AF59-EAC8FE88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</dc:creator>
  <cp:lastModifiedBy>Damian Abreo</cp:lastModifiedBy>
  <cp:revision>4</cp:revision>
  <cp:lastPrinted>2018-10-11T15:29:00Z</cp:lastPrinted>
  <dcterms:created xsi:type="dcterms:W3CDTF">2020-08-10T16:25:00Z</dcterms:created>
  <dcterms:modified xsi:type="dcterms:W3CDTF">2020-08-10T17:08:00Z</dcterms:modified>
</cp:coreProperties>
</file>